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922F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Беляева, 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мусорного контейнера</w:t>
      </w:r>
      <w:r>
        <w:rPr>
          <w:rFonts w:ascii="Times New Roman" w:hAnsi="Times New Roman"/>
          <w:sz w:val="24"/>
        </w:rPr>
        <w:t xml:space="preserve"> - с</w:t>
      </w:r>
      <w:r>
        <w:rPr>
          <w:rFonts w:ascii="Times New Roman" w:hAnsi="Times New Roman"/>
          <w:sz w:val="24"/>
        </w:rPr>
        <w:t>аморезы 3 см – 20 шт., оцинковка 30*30 см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1-6 под. -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мусора в подъездах (с тамбуров)</w:t>
      </w:r>
      <w:r>
        <w:rPr>
          <w:rFonts w:ascii="Times New Roman" w:hAnsi="Times New Roman"/>
          <w:sz w:val="24"/>
        </w:rPr>
        <w:t xml:space="preserve"> - с</w:t>
      </w:r>
      <w:r>
        <w:rPr>
          <w:rFonts w:ascii="Times New Roman" w:hAnsi="Times New Roman"/>
          <w:sz w:val="24"/>
        </w:rPr>
        <w:t>троительные мешки – 1 шт.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акрытие поэтажных электрических щитков.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Спил аварийных деревьев, с последующим вывозом.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