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11C73A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  <w:shd w:val="clear" w:fill="FFFFFF"/>
        </w:rPr>
        <w:t>.12-6.12.2022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  <w:shd w:val="clear" w:fill="FFFFFF"/>
        </w:rPr>
        <w:t>Беляева, 15</w:t>
      </w:r>
    </w:p>
    <w:p>
      <w:pPr>
        <w:spacing w:after="1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shd w:val="clear" w:fill="FFFFFF"/>
        </w:rPr>
        <w:t>5 декабря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подвала от мусора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9 декабря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емонт крыши входа в подвал 2 под. 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ытье светильников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